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graph14ae84a9b-b777-4c51-8eb6-21473e019c6d.png"/>
  <Override ContentType="image/svg+xml" PartName="/word/media/graph14ae84a9b-b777-4c51-8eb6-21473e019c6d.svg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w:p>
      <w:pPr>
        <w:pStyle w:val="Title"/>
      </w:pPr>
      <w:r>
        <w:t/>
      </w:r>
      <w:r>
        <w:t xml:space="preserve"/>
      </w:r>
      <w:r>
        <w:t xml:space="preserve">Health report</w:t>
      </w:r>
    </w:p>
    <w:p>
      <w:r>
        <w:t/>
      </w:r>
      <w:r>
        <w:t xml:space="preserve">Below, we load data from the Second National Health and Nutrition </w:t>
      </w:r>
      <w:r>
        <w:t xml:space="preserve">Examination Survey (NHANES II) (McDowell et al. 1981). We are interested in </w:t>
      </w:r>
      <w:r>
        <w:t xml:space="preserve">how health measures differ across diabetics and non-diabetics. </w:t>
      </w:r>
    </w:p>
    <w:tbl>
      <w:tblPr>
        <w:tblStyle w:val="TableGrid"/>
        <w:tblW w:w="0" w:type="auto"/>
      </w:tblPr>
      <w:tblGrid>
        <w:gridCol w:w="1872"/>
        <w:gridCol w:w="1872"/>
        <w:gridCol w:w="1872"/>
        <w:gridCol w:w="1872"/>
        <w:gridCol w:w="1872"/>
      </w:tblGrid>
      <w:tr>
        <w:tc>
          <w:tcPr>
            <w:gridSpan w:val="5"/>
            <w:tcBorders>
              <w:top w:val="nil" w:color="000000"/>
              <w:left w:val="nil" w:color="000000"/>
              <w:bottom w:val="single" w:color="000000"/>
              <w:right w:val="nil" w:color="000000"/>
            </w:tcBorders>
          </w:tcPr>
          <w:p>
            <w:pPr>
              <w:spacing w:after="0"/>
            </w:pPr>
            <w:r>
              <w:t xml:space="preserve">Table 1</w:t>
            </w:r>
          </w:p>
        </w:tc>
      </w:tr>
      <w:tr>
        <w:tc>
          <w:tcPr>
            <w:tcW w:w="0" w:type="auto"/>
            <w:tcBorders>
              <w:top w:val="single" w:color="000000"/>
              <w:left w:val="nil" w:color="000000"/>
              <w:bottom w:val="nil" w:color="000000"/>
              <w:right w:val="nil" w:color="000000"/>
            </w:tcBorders>
          </w:tcPr>
          <w:p>
            <w:pPr>
              <w:spacing w:after="0"/>
            </w:pPr>
          </w:p>
        </w:tc>
        <w:tc>
          <w:tcPr>
            <w:tcW w:w="0" w:type="auto"/>
            <w:gridSpan w:val="4"/>
            <w:tcBorders>
              <w:top w:val="single" w:color="000000"/>
              <w:left w:val="nil" w:color="000000"/>
              <w:bottom w:val="nil" w:color="000000"/>
              <w:right w:val="nil" w:color="000000"/>
            </w:tcBorders>
            <w:vAlign w:val="bottom"/>
          </w:tcPr>
          <w:p>
            <w:pPr>
              <w:spacing w:after="0"/>
              <w:jc w:val="center"/>
            </w:pPr>
            <w:r>
              <w:t xml:space="preserve">Diabetes status</w:t>
            </w:r>
          </w:p>
        </w:tc>
      </w:tr>
      <w:tr>
        <w:tc>
          <w:tcPr>
            <w:tcW w:w="0" w:type="auto"/>
            <w:tcBorders>
              <w:top w:val="nil" w:color="000000"/>
              <w:left w:val="nil" w:color="000000"/>
              <w:bottom w:val="single" w:color="000000"/>
              <w:right w:val="nil" w:color="000000"/>
            </w:tcBorders>
          </w:tcPr>
          <w:p>
            <w:pPr>
              <w:spacing w:after="0"/>
            </w:pPr>
          </w:p>
        </w:tc>
        <w:tc>
          <w:tcPr>
            <w:tcW w:w="0" w:type="auto"/>
            <w:tcBorders>
              <w:top w:val="nil" w:color="000000"/>
              <w:left w:val="nil" w:color="000000"/>
              <w:bottom w:val="single" w:color="000000"/>
              <w:right w:val="nil" w:color="000000"/>
            </w:tcBorders>
            <w:vAlign w:val="bottom"/>
          </w:tcPr>
          <w:p>
            <w:pPr>
              <w:spacing w:after="0"/>
              <w:jc w:val="center"/>
            </w:pPr>
            <w:r>
              <w:t xml:space="preserve">Not diabetic</w:t>
            </w:r>
          </w:p>
        </w:tc>
        <w:tc>
          <w:tcPr>
            <w:tcW w:w="0" w:type="auto"/>
            <w:tcBorders>
              <w:top w:val="nil" w:color="000000"/>
              <w:left w:val="nil" w:color="000000"/>
              <w:bottom w:val="single" w:color="000000"/>
              <w:right w:val="nil" w:color="000000"/>
            </w:tcBorders>
            <w:vAlign w:val="bottom"/>
          </w:tcPr>
          <w:p>
            <w:pPr>
              <w:spacing w:after="0"/>
              <w:jc w:val="center"/>
            </w:pPr>
            <w:r>
              <w:t xml:space="preserve">Diabetic</w:t>
            </w:r>
          </w:p>
        </w:tc>
        <w:tc>
          <w:tcPr>
            <w:tcW w:w="0" w:type="auto"/>
            <w:tcBorders>
              <w:top w:val="nil" w:color="000000"/>
              <w:left w:val="nil" w:color="000000"/>
              <w:bottom w:val="single" w:color="000000"/>
              <w:right w:val="nil" w:color="000000"/>
            </w:tcBorders>
            <w:vAlign w:val="bottom"/>
          </w:tcPr>
          <w:p>
            <w:pPr>
              <w:spacing w:after="0"/>
              <w:jc w:val="center"/>
            </w:pPr>
            <w:r>
              <w:t xml:space="preserve">Total</w:t>
            </w:r>
          </w:p>
        </w:tc>
        <w:tc>
          <w:tcPr>
            <w:tcW w:w="0" w:type="auto"/>
            <w:tcBorders>
              <w:top w:val="nil" w:color="000000"/>
              <w:left w:val="nil" w:color="000000"/>
              <w:bottom w:val="single" w:color="000000"/>
              <w:right w:val="nil" w:color="000000"/>
            </w:tcBorders>
            <w:vAlign w:val="bottom"/>
          </w:tcPr>
          <w:p>
            <w:pPr>
              <w:spacing w:after="0"/>
              <w:jc w:val="center"/>
            </w:pPr>
            <w:r>
              <w:t xml:space="preserve">Test</w:t>
            </w:r>
          </w:p>
        </w:tc>
      </w:tr>
      <w:tr>
        <w:tc>
          <w:tcPr>
            <w:tcW w:w="0" w:type="auto"/>
            <w:tcBorders>
              <w:top w:val="single" w:color="000000"/>
              <w:left w:val="nil" w:color="000000"/>
              <w:bottom w:val="nil" w:color="000000"/>
              <w:right w:val="nil" w:color="000000"/>
            </w:tcBorders>
            <w:vAlign w:val="bottom"/>
          </w:tcPr>
          <w:p>
            <w:pPr>
              <w:spacing w:after="0"/>
              <w:jc w:val="left"/>
            </w:pPr>
            <w:r>
              <w:t xml:space="preserve">N</w:t>
            </w:r>
          </w:p>
        </w:tc>
        <w:tc>
          <w:tcPr>
            <w:tcW w:w="0" w:type="auto"/>
            <w:tcBorders>
              <w:top w:val="single" w:color="000000"/>
              <w:left w:val="nil" w:color="000000"/>
              <w:bottom w:val="nil" w:color="000000"/>
              <w:right w:val="nil" w:color="000000"/>
            </w:tcBorders>
            <w:vAlign w:val="bottom"/>
          </w:tcPr>
          <w:p>
            <w:pPr>
              <w:spacing w:after="0"/>
              <w:jc w:val="right"/>
            </w:pPr>
            <w:r>
              <w:t xml:space="preserve">9,850 (95.2%)</w:t>
            </w:r>
          </w:p>
        </w:tc>
        <w:tc>
          <w:tcPr>
            <w:tcW w:w="0" w:type="auto"/>
            <w:tcBorders>
              <w:top w:val="single" w:color="000000"/>
              <w:left w:val="nil" w:color="000000"/>
              <w:bottom w:val="nil" w:color="000000"/>
              <w:right w:val="nil" w:color="000000"/>
            </w:tcBorders>
            <w:vAlign w:val="bottom"/>
          </w:tcPr>
          <w:p>
            <w:pPr>
              <w:spacing w:after="0"/>
              <w:jc w:val="right"/>
            </w:pPr>
            <w:r>
              <w:t xml:space="preserve">499 (4.8%)</w:t>
            </w:r>
          </w:p>
        </w:tc>
        <w:tc>
          <w:tcPr>
            <w:tcW w:w="0" w:type="auto"/>
            <w:tcBorders>
              <w:top w:val="single" w:color="000000"/>
              <w:left w:val="nil" w:color="000000"/>
              <w:bottom w:val="nil" w:color="000000"/>
              <w:right w:val="nil" w:color="000000"/>
            </w:tcBorders>
            <w:vAlign w:val="bottom"/>
          </w:tcPr>
          <w:p>
            <w:pPr>
              <w:spacing w:after="0"/>
              <w:jc w:val="right"/>
            </w:pPr>
            <w:r>
              <w:t xml:space="preserve">10,349 (100.0%)</w:t>
            </w:r>
          </w:p>
        </w:tc>
        <w:tc>
          <w:tcPr>
            <w:tcW w:w="0" w:type="auto"/>
            <w:tcBorders>
              <w:top w:val="single" w:color="000000"/>
              <w:left w:val="nil" w:color="000000"/>
              <w:bottom w:val="nil" w:color="000000"/>
              <w:right w:val="nil" w:color="000000"/>
            </w:tcBorders>
          </w:tcPr>
          <w:p>
            <w:pPr>
              <w:spacing w:after="0"/>
            </w:pPr>
          </w:p>
        </w:tc>
      </w:tr>
      <w:tr>
        <w:tc>
          <w:tcPr>
            <w:tcW w:w="0" w:type="auto"/>
            <w:tcBorders>
              <w:top w:val="nil" w:color="000000"/>
              <w:left w:val="nil" w:color="000000"/>
              <w:bottom w:val="nil" w:color="000000"/>
              <w:right w:val="nil" w:color="000000"/>
            </w:tcBorders>
            <w:vAlign w:val="bottom"/>
          </w:tcPr>
          <w:p>
            <w:pPr>
              <w:spacing w:after="0"/>
              <w:jc w:val="left"/>
            </w:pPr>
            <w:r>
              <w:t xml:space="preserve">Age (years)</w:t>
            </w:r>
          </w:p>
        </w:tc>
        <w:tc>
          <w:tcPr>
            <w:tcW w:w="0" w:type="auto"/>
            <w:tcBorders>
              <w:top w:val="nil" w:color="000000"/>
              <w:left w:val="nil" w:color="000000"/>
              <w:bottom w:val="nil" w:color="000000"/>
              <w:right w:val="nil" w:color="000000"/>
            </w:tcBorders>
            <w:vAlign w:val="bottom"/>
          </w:tcPr>
          <w:p>
            <w:pPr>
              <w:spacing w:after="0"/>
              <w:jc w:val="right"/>
            </w:pPr>
            <w:r>
              <w:t xml:space="preserve">46.9 (17.2)</w:t>
            </w:r>
          </w:p>
        </w:tc>
        <w:tc>
          <w:tcPr>
            <w:tcW w:w="0" w:type="auto"/>
            <w:tcBorders>
              <w:top w:val="nil" w:color="000000"/>
              <w:left w:val="nil" w:color="000000"/>
              <w:bottom w:val="nil" w:color="000000"/>
              <w:right w:val="nil" w:color="000000"/>
            </w:tcBorders>
            <w:vAlign w:val="bottom"/>
          </w:tcPr>
          <w:p>
            <w:pPr>
              <w:spacing w:after="0"/>
              <w:jc w:val="right"/>
            </w:pPr>
            <w:r>
              <w:t xml:space="preserve">60.7 (11.5)</w:t>
            </w:r>
          </w:p>
        </w:tc>
        <w:tc>
          <w:tcPr>
            <w:tcW w:w="0" w:type="auto"/>
            <w:tcBorders>
              <w:top w:val="nil" w:color="000000"/>
              <w:left w:val="nil" w:color="000000"/>
              <w:bottom w:val="nil" w:color="000000"/>
              <w:right w:val="nil" w:color="000000"/>
            </w:tcBorders>
            <w:vAlign w:val="bottom"/>
          </w:tcPr>
          <w:p>
            <w:pPr>
              <w:spacing w:after="0"/>
              <w:jc w:val="right"/>
            </w:pPr>
            <w:r>
              <w:t xml:space="preserve">47.6 (17.2)</w:t>
            </w:r>
          </w:p>
        </w:tc>
        <w:tc>
          <w:tcPr>
            <w:tcW w:w="0" w:type="auto"/>
            <w:tcBorders>
              <w:top w:val="nil" w:color="000000"/>
              <w:left w:val="nil" w:color="000000"/>
              <w:bottom w:val="nil" w:color="000000"/>
              <w:right w:val="nil" w:color="000000"/>
            </w:tcBorders>
          </w:tcPr>
          <w:p>
            <w:pPr>
              <w:spacing w:after="0"/>
            </w:pPr>
          </w:p>
        </w:tc>
      </w:tr>
      <w:tr>
        <w:tc>
          <w:tcPr>
            <w:tcW w:w="0" w:type="auto"/>
            <w:tcBorders>
              <w:top w:val="nil" w:color="000000"/>
              <w:left w:val="nil" w:color="000000"/>
              <w:bottom w:val="nil" w:color="000000"/>
              <w:right w:val="nil" w:color="000000"/>
            </w:tcBorders>
            <w:vAlign w:val="bottom"/>
          </w:tcPr>
          <w:p>
            <w:pPr>
              <w:spacing w:after="0"/>
              <w:jc w:val="left"/>
            </w:pPr>
            <w:r>
              <w:t xml:space="preserve">Weight (kg)</w:t>
            </w:r>
          </w:p>
        </w:tc>
        <w:tc>
          <w:tcPr>
            <w:tcW w:w="0" w:type="auto"/>
            <w:tcBorders>
              <w:top w:val="nil" w:color="000000"/>
              <w:left w:val="nil" w:color="000000"/>
              <w:bottom w:val="nil" w:color="000000"/>
              <w:right w:val="nil" w:color="000000"/>
            </w:tcBorders>
            <w:vAlign w:val="bottom"/>
          </w:tcPr>
          <w:p>
            <w:pPr>
              <w:spacing w:after="0"/>
              <w:jc w:val="right"/>
            </w:pPr>
            <w:r>
              <w:t xml:space="preserve">71.7 (15.2)</w:t>
            </w:r>
          </w:p>
        </w:tc>
        <w:tc>
          <w:tcPr>
            <w:tcW w:w="0" w:type="auto"/>
            <w:tcBorders>
              <w:top w:val="nil" w:color="000000"/>
              <w:left w:val="nil" w:color="000000"/>
              <w:bottom w:val="nil" w:color="000000"/>
              <w:right w:val="nil" w:color="000000"/>
            </w:tcBorders>
            <w:vAlign w:val="bottom"/>
          </w:tcPr>
          <w:p>
            <w:pPr>
              <w:spacing w:after="0"/>
              <w:jc w:val="right"/>
            </w:pPr>
            <w:r>
              <w:t xml:space="preserve">76.7 (17.2)</w:t>
            </w:r>
          </w:p>
        </w:tc>
        <w:tc>
          <w:tcPr>
            <w:tcW w:w="0" w:type="auto"/>
            <w:tcBorders>
              <w:top w:val="nil" w:color="000000"/>
              <w:left w:val="nil" w:color="000000"/>
              <w:bottom w:val="nil" w:color="000000"/>
              <w:right w:val="nil" w:color="000000"/>
            </w:tcBorders>
            <w:vAlign w:val="bottom"/>
          </w:tcPr>
          <w:p>
            <w:pPr>
              <w:spacing w:after="0"/>
              <w:jc w:val="right"/>
            </w:pPr>
            <w:r>
              <w:t xml:space="preserve">71.9 (15.4)</w:t>
            </w:r>
          </w:p>
        </w:tc>
        <w:tc>
          <w:tcPr>
            <w:tcW w:w="0" w:type="auto"/>
            <w:tcBorders>
              <w:top w:val="nil" w:color="000000"/>
              <w:left w:val="nil" w:color="000000"/>
              <w:bottom w:val="nil" w:color="000000"/>
              <w:right w:val="nil" w:color="000000"/>
            </w:tcBorders>
          </w:tcPr>
          <w:p>
            <w:pPr>
              <w:spacing w:after="0"/>
            </w:pPr>
          </w:p>
        </w:tc>
      </w:tr>
      <w:tr>
        <w:tc>
          <w:tcPr>
            <w:tcW w:w="0" w:type="auto"/>
            <w:tcBorders>
              <w:top w:val="nil" w:color="000000"/>
              <w:left w:val="nil" w:color="000000"/>
              <w:bottom w:val="nil" w:color="000000"/>
              <w:right w:val="nil" w:color="000000"/>
            </w:tcBorders>
            <w:vAlign w:val="bottom"/>
          </w:tcPr>
          <w:p>
            <w:pPr>
              <w:spacing w:after="0"/>
              <w:jc w:val="left"/>
            </w:pPr>
            <w:r>
              <w:t xml:space="preserve">Systolic blood pressure</w:t>
            </w:r>
          </w:p>
        </w:tc>
        <w:tc>
          <w:tcPr>
            <w:tcW w:w="0" w:type="auto"/>
            <w:tcBorders>
              <w:top w:val="nil" w:color="000000"/>
              <w:left w:val="nil" w:color="000000"/>
              <w:bottom w:val="nil" w:color="000000"/>
              <w:right w:val="nil" w:color="000000"/>
            </w:tcBorders>
            <w:vAlign w:val="bottom"/>
          </w:tcPr>
          <w:p>
            <w:pPr>
              <w:spacing w:after="0"/>
              <w:jc w:val="right"/>
            </w:pPr>
            <w:r>
              <w:t xml:space="preserve">130.1 (22.8)</w:t>
            </w:r>
          </w:p>
        </w:tc>
        <w:tc>
          <w:tcPr>
            <w:tcW w:w="0" w:type="auto"/>
            <w:tcBorders>
              <w:top w:val="nil" w:color="000000"/>
              <w:left w:val="nil" w:color="000000"/>
              <w:bottom w:val="nil" w:color="000000"/>
              <w:right w:val="nil" w:color="000000"/>
            </w:tcBorders>
            <w:vAlign w:val="bottom"/>
          </w:tcPr>
          <w:p>
            <w:pPr>
              <w:spacing w:after="0"/>
              <w:jc w:val="right"/>
            </w:pPr>
            <w:r>
              <w:t xml:space="preserve">146.7 (28.4)</w:t>
            </w:r>
          </w:p>
        </w:tc>
        <w:tc>
          <w:tcPr>
            <w:tcW w:w="0" w:type="auto"/>
            <w:tcBorders>
              <w:top w:val="nil" w:color="000000"/>
              <w:left w:val="nil" w:color="000000"/>
              <w:bottom w:val="nil" w:color="000000"/>
              <w:right w:val="nil" w:color="000000"/>
            </w:tcBorders>
            <w:vAlign w:val="bottom"/>
          </w:tcPr>
          <w:p>
            <w:pPr>
              <w:spacing w:after="0"/>
              <w:jc w:val="right"/>
            </w:pPr>
            <w:r>
              <w:t xml:space="preserve">130.9 (23.3)</w:t>
            </w:r>
          </w:p>
        </w:tc>
        <w:tc>
          <w:tcPr>
            <w:tcW w:w="0" w:type="auto"/>
            <w:tcBorders>
              <w:top w:val="nil" w:color="000000"/>
              <w:left w:val="nil" w:color="000000"/>
              <w:bottom w:val="nil" w:color="000000"/>
              <w:right w:val="nil" w:color="000000"/>
            </w:tcBorders>
            <w:vAlign w:val="bottom"/>
          </w:tcPr>
          <w:p>
            <w:pPr>
              <w:spacing w:after="0"/>
              <w:jc w:val="right"/>
            </w:pPr>
            <w:r>
              <w:t xml:space="preserve">&lt;0.001</w:t>
            </w:r>
          </w:p>
        </w:tc>
      </w:tr>
      <w:tr>
        <w:tc>
          <w:tcPr>
            <w:tcW w:w="0" w:type="auto"/>
            <w:tcBorders>
              <w:top w:val="nil" w:color="000000"/>
              <w:left w:val="nil" w:color="000000"/>
              <w:bottom w:val="nil" w:color="000000"/>
              <w:right w:val="nil" w:color="000000"/>
            </w:tcBorders>
            <w:vAlign w:val="bottom"/>
          </w:tcPr>
          <w:p>
            <w:pPr>
              <w:spacing w:after="0"/>
              <w:jc w:val="left"/>
            </w:pPr>
            <w:r>
              <w:t xml:space="preserve">Serum cholesterol (mg/dL)</w:t>
            </w:r>
          </w:p>
        </w:tc>
        <w:tc>
          <w:tcPr>
            <w:tcW w:w="0" w:type="auto"/>
            <w:tcBorders>
              <w:top w:val="nil" w:color="000000"/>
              <w:left w:val="nil" w:color="000000"/>
              <w:bottom w:val="nil" w:color="000000"/>
              <w:right w:val="nil" w:color="000000"/>
            </w:tcBorders>
            <w:vAlign w:val="bottom"/>
          </w:tcPr>
          <w:p>
            <w:pPr>
              <w:spacing w:after="0"/>
              <w:jc w:val="right"/>
            </w:pPr>
            <w:r>
              <w:t xml:space="preserve">217.2 (49.2)</w:t>
            </w:r>
          </w:p>
        </w:tc>
        <w:tc>
          <w:tcPr>
            <w:tcW w:w="0" w:type="auto"/>
            <w:tcBorders>
              <w:top w:val="nil" w:color="000000"/>
              <w:left w:val="nil" w:color="000000"/>
              <w:bottom w:val="nil" w:color="000000"/>
              <w:right w:val="nil" w:color="000000"/>
            </w:tcBorders>
            <w:vAlign w:val="bottom"/>
          </w:tcPr>
          <w:p>
            <w:pPr>
              <w:spacing w:after="0"/>
              <w:jc w:val="right"/>
            </w:pPr>
            <w:r>
              <w:t xml:space="preserve">227.3 (52.3)</w:t>
            </w:r>
          </w:p>
        </w:tc>
        <w:tc>
          <w:tcPr>
            <w:tcW w:w="0" w:type="auto"/>
            <w:tcBorders>
              <w:top w:val="nil" w:color="000000"/>
              <w:left w:val="nil" w:color="000000"/>
              <w:bottom w:val="nil" w:color="000000"/>
              <w:right w:val="nil" w:color="000000"/>
            </w:tcBorders>
            <w:vAlign w:val="bottom"/>
          </w:tcPr>
          <w:p>
            <w:pPr>
              <w:spacing w:after="0"/>
              <w:jc w:val="right"/>
            </w:pPr>
            <w:r>
              <w:t xml:space="preserve">217.7 (49.4)</w:t>
            </w:r>
          </w:p>
        </w:tc>
        <w:tc>
          <w:tcPr>
            <w:tcW w:w="0" w:type="auto"/>
            <w:tcBorders>
              <w:top w:val="nil" w:color="000000"/>
              <w:left w:val="nil" w:color="000000"/>
              <w:bottom w:val="nil" w:color="000000"/>
              <w:right w:val="nil" w:color="000000"/>
            </w:tcBorders>
            <w:vAlign w:val="bottom"/>
          </w:tcPr>
          <w:p>
            <w:pPr>
              <w:spacing w:after="0"/>
              <w:jc w:val="right"/>
            </w:pPr>
            <w:r>
              <w:t xml:space="preserve">&lt;0.001</w:t>
            </w:r>
          </w:p>
        </w:tc>
      </w:tr>
      <w:tr>
        <w:tc>
          <w:tcPr>
            <w:tcW w:w="0" w:type="auto"/>
            <w:tcBorders>
              <w:top w:val="nil" w:color="000000"/>
              <w:left w:val="nil" w:color="000000"/>
              <w:bottom w:val="nil" w:color="000000"/>
              <w:right w:val="nil" w:color="000000"/>
            </w:tcBorders>
            <w:vAlign w:val="bottom"/>
          </w:tcPr>
          <w:p>
            <w:pPr>
              <w:spacing w:after="0"/>
              <w:jc w:val="left"/>
            </w:pPr>
            <w:r>
              <w:t xml:space="preserve">Serum triglycerides (mg/dL)</w:t>
            </w:r>
          </w:p>
        </w:tc>
        <w:tc>
          <w:tcPr>
            <w:tcW w:w="0" w:type="auto"/>
            <w:tcBorders>
              <w:top w:val="nil" w:color="000000"/>
              <w:left w:val="nil" w:color="000000"/>
              <w:bottom w:val="nil" w:color="000000"/>
              <w:right w:val="nil" w:color="000000"/>
            </w:tcBorders>
            <w:vAlign w:val="bottom"/>
          </w:tcPr>
          <w:p>
            <w:pPr>
              <w:spacing w:after="0"/>
              <w:jc w:val="right"/>
            </w:pPr>
            <w:r>
              <w:t xml:space="preserve">141.4 (95.0)</w:t>
            </w:r>
          </w:p>
        </w:tc>
        <w:tc>
          <w:tcPr>
            <w:tcW w:w="0" w:type="auto"/>
            <w:tcBorders>
              <w:top w:val="nil" w:color="000000"/>
              <w:left w:val="nil" w:color="000000"/>
              <w:bottom w:val="nil" w:color="000000"/>
              <w:right w:val="nil" w:color="000000"/>
            </w:tcBorders>
            <w:vAlign w:val="bottom"/>
          </w:tcPr>
          <w:p>
            <w:pPr>
              <w:spacing w:after="0"/>
              <w:jc w:val="right"/>
            </w:pPr>
            <w:r>
              <w:t xml:space="preserve">195.1 (111.8)</w:t>
            </w:r>
          </w:p>
        </w:tc>
        <w:tc>
          <w:tcPr>
            <w:tcW w:w="0" w:type="auto"/>
            <w:tcBorders>
              <w:top w:val="nil" w:color="000000"/>
              <w:left w:val="nil" w:color="000000"/>
              <w:bottom w:val="nil" w:color="000000"/>
              <w:right w:val="nil" w:color="000000"/>
            </w:tcBorders>
            <w:vAlign w:val="bottom"/>
          </w:tcPr>
          <w:p>
            <w:pPr>
              <w:spacing w:after="0"/>
              <w:jc w:val="right"/>
            </w:pPr>
            <w:r>
              <w:t xml:space="preserve">143.9 (96.5)</w:t>
            </w:r>
          </w:p>
        </w:tc>
        <w:tc>
          <w:tcPr>
            <w:tcW w:w="0" w:type="auto"/>
            <w:tcBorders>
              <w:top w:val="nil" w:color="000000"/>
              <w:left w:val="nil" w:color="000000"/>
              <w:bottom w:val="nil" w:color="000000"/>
              <w:right w:val="nil" w:color="000000"/>
            </w:tcBorders>
            <w:vAlign w:val="bottom"/>
          </w:tcPr>
          <w:p>
            <w:pPr>
              <w:spacing w:after="0"/>
              <w:jc w:val="right"/>
            </w:pPr>
            <w:r>
              <w:t xml:space="preserve">&lt;0.001</w:t>
            </w:r>
          </w:p>
        </w:tc>
      </w:tr>
      <w:tr>
        <w:tc>
          <w:tcPr>
            <w:tcW w:w="0" w:type="auto"/>
            <w:tcBorders>
              <w:top w:val="nil" w:color="000000"/>
              <w:left w:val="nil" w:color="000000"/>
              <w:bottom w:val="nil" w:color="000000"/>
              <w:right w:val="nil" w:color="000000"/>
            </w:tcBorders>
            <w:vAlign w:val="bottom"/>
          </w:tcPr>
          <w:p>
            <w:pPr>
              <w:spacing w:after="0"/>
              <w:jc w:val="left"/>
            </w:pPr>
            <w:r>
              <w:t xml:space="preserve">Sex</w:t>
            </w:r>
          </w:p>
        </w:tc>
        <w:tc>
          <w:tcPr>
            <w:tcW w:w="0" w:type="auto"/>
            <w:tcBorders>
              <w:top w:val="nil" w:color="000000"/>
              <w:left w:val="nil" w:color="000000"/>
              <w:bottom w:val="nil" w:color="000000"/>
              <w:right w:val="nil" w:color="000000"/>
            </w:tcBorders>
          </w:tcPr>
          <w:p>
            <w:pPr>
              <w:spacing w:after="0"/>
            </w:pPr>
          </w:p>
        </w:tc>
        <w:tc>
          <w:tcPr>
            <w:tcW w:w="0" w:type="auto"/>
            <w:tcBorders>
              <w:top w:val="nil" w:color="000000"/>
              <w:left w:val="nil" w:color="000000"/>
              <w:bottom w:val="nil" w:color="000000"/>
              <w:right w:val="nil" w:color="000000"/>
            </w:tcBorders>
          </w:tcPr>
          <w:p>
            <w:pPr>
              <w:spacing w:after="0"/>
            </w:pPr>
          </w:p>
        </w:tc>
        <w:tc>
          <w:tcPr>
            <w:tcW w:w="0" w:type="auto"/>
            <w:tcBorders>
              <w:top w:val="nil" w:color="000000"/>
              <w:left w:val="nil" w:color="000000"/>
              <w:bottom w:val="nil" w:color="000000"/>
              <w:right w:val="nil" w:color="000000"/>
            </w:tcBorders>
          </w:tcPr>
          <w:p>
            <w:pPr>
              <w:spacing w:after="0"/>
            </w:pPr>
          </w:p>
        </w:tc>
        <w:tc>
          <w:tcPr>
            <w:tcW w:w="0" w:type="auto"/>
            <w:tcBorders>
              <w:top w:val="nil" w:color="000000"/>
              <w:left w:val="nil" w:color="000000"/>
              <w:bottom w:val="nil" w:color="000000"/>
              <w:right w:val="nil" w:color="000000"/>
            </w:tcBorders>
          </w:tcPr>
          <w:p>
            <w:pPr>
              <w:spacing w:after="0"/>
            </w:pPr>
          </w:p>
        </w:tc>
      </w:tr>
      <w:tr>
        <w:tc>
          <w:tcPr>
            <w:tcW w:w="0" w:type="auto"/>
            <w:tcBorders>
              <w:top w:val="nil" w:color="000000"/>
              <w:left w:val="nil" w:color="000000"/>
              <w:bottom w:val="nil" w:color="000000"/>
              <w:right w:val="nil" w:color="000000"/>
            </w:tcBorders>
            <w:vAlign w:val="bottom"/>
          </w:tcPr>
          <w:p>
            <w:pPr>
              <w:spacing w:after="0"/>
              <w:jc w:val="left"/>
            </w:pPr>
            <w:r>
              <w:t xml:space="preserve">  Male</w:t>
            </w:r>
          </w:p>
        </w:tc>
        <w:tc>
          <w:tcPr>
            <w:tcW w:w="0" w:type="auto"/>
            <w:tcBorders>
              <w:top w:val="nil" w:color="000000"/>
              <w:left w:val="nil" w:color="000000"/>
              <w:bottom w:val="nil" w:color="000000"/>
              <w:right w:val="nil" w:color="000000"/>
            </w:tcBorders>
            <w:vAlign w:val="bottom"/>
          </w:tcPr>
          <w:p>
            <w:pPr>
              <w:spacing w:after="0"/>
              <w:jc w:val="right"/>
            </w:pPr>
            <w:r>
              <w:t xml:space="preserve">4,698 (47.7%)</w:t>
            </w:r>
          </w:p>
        </w:tc>
        <w:tc>
          <w:tcPr>
            <w:tcW w:w="0" w:type="auto"/>
            <w:tcBorders>
              <w:top w:val="nil" w:color="000000"/>
              <w:left w:val="nil" w:color="000000"/>
              <w:bottom w:val="nil" w:color="000000"/>
              <w:right w:val="nil" w:color="000000"/>
            </w:tcBorders>
            <w:vAlign w:val="bottom"/>
          </w:tcPr>
          <w:p>
            <w:pPr>
              <w:spacing w:after="0"/>
              <w:jc w:val="right"/>
            </w:pPr>
            <w:r>
              <w:t xml:space="preserve">217 (43.5%)</w:t>
            </w:r>
          </w:p>
        </w:tc>
        <w:tc>
          <w:tcPr>
            <w:tcW w:w="0" w:type="auto"/>
            <w:tcBorders>
              <w:top w:val="nil" w:color="000000"/>
              <w:left w:val="nil" w:color="000000"/>
              <w:bottom w:val="nil" w:color="000000"/>
              <w:right w:val="nil" w:color="000000"/>
            </w:tcBorders>
            <w:vAlign w:val="bottom"/>
          </w:tcPr>
          <w:p>
            <w:pPr>
              <w:spacing w:after="0"/>
              <w:jc w:val="right"/>
            </w:pPr>
            <w:r>
              <w:t xml:space="preserve">4,915 (47.5%)</w:t>
            </w:r>
          </w:p>
        </w:tc>
        <w:tc>
          <w:tcPr>
            <w:tcW w:w="0" w:type="auto"/>
            <w:tcBorders>
              <w:top w:val="nil" w:color="000000"/>
              <w:left w:val="nil" w:color="000000"/>
              <w:bottom w:val="nil" w:color="000000"/>
              <w:right w:val="nil" w:color="000000"/>
            </w:tcBorders>
          </w:tcPr>
          <w:p>
            <w:pPr>
              <w:spacing w:after="0"/>
            </w:pPr>
          </w:p>
        </w:tc>
      </w:tr>
      <w:tr>
        <w:tc>
          <w:tcPr>
            <w:tcW w:w="0" w:type="auto"/>
            <w:tcBorders>
              <w:top w:val="nil" w:color="000000"/>
              <w:left w:val="nil" w:color="000000"/>
              <w:bottom w:val="single" w:color="000000"/>
              <w:right w:val="nil" w:color="000000"/>
            </w:tcBorders>
            <w:vAlign w:val="bottom"/>
          </w:tcPr>
          <w:p>
            <w:pPr>
              <w:spacing w:after="0"/>
              <w:jc w:val="left"/>
            </w:pPr>
            <w:r>
              <w:t xml:space="preserve">  Female</w:t>
            </w:r>
          </w:p>
        </w:tc>
        <w:tc>
          <w:tcPr>
            <w:tcW w:w="0" w:type="auto"/>
            <w:tcBorders>
              <w:top w:val="nil" w:color="000000"/>
              <w:left w:val="nil" w:color="000000"/>
              <w:bottom w:val="single" w:color="000000"/>
              <w:right w:val="nil" w:color="000000"/>
            </w:tcBorders>
            <w:vAlign w:val="bottom"/>
          </w:tcPr>
          <w:p>
            <w:pPr>
              <w:spacing w:after="0"/>
              <w:jc w:val="right"/>
            </w:pPr>
            <w:r>
              <w:t xml:space="preserve">5,152 (52.3%)</w:t>
            </w:r>
          </w:p>
        </w:tc>
        <w:tc>
          <w:tcPr>
            <w:tcW w:w="0" w:type="auto"/>
            <w:tcBorders>
              <w:top w:val="nil" w:color="000000"/>
              <w:left w:val="nil" w:color="000000"/>
              <w:bottom w:val="single" w:color="000000"/>
              <w:right w:val="nil" w:color="000000"/>
            </w:tcBorders>
            <w:vAlign w:val="bottom"/>
          </w:tcPr>
          <w:p>
            <w:pPr>
              <w:spacing w:after="0"/>
              <w:jc w:val="right"/>
            </w:pPr>
            <w:r>
              <w:t xml:space="preserve">282 (56.5%)</w:t>
            </w:r>
          </w:p>
        </w:tc>
        <w:tc>
          <w:tcPr>
            <w:tcW w:w="0" w:type="auto"/>
            <w:tcBorders>
              <w:top w:val="nil" w:color="000000"/>
              <w:left w:val="nil" w:color="000000"/>
              <w:bottom w:val="single" w:color="000000"/>
              <w:right w:val="nil" w:color="000000"/>
            </w:tcBorders>
            <w:vAlign w:val="bottom"/>
          </w:tcPr>
          <w:p>
            <w:pPr>
              <w:spacing w:after="0"/>
              <w:jc w:val="right"/>
            </w:pPr>
            <w:r>
              <w:t xml:space="preserve">5,434 (52.5%)</w:t>
            </w:r>
          </w:p>
        </w:tc>
        <w:tc>
          <w:tcPr>
            <w:tcW w:w="0" w:type="auto"/>
            <w:tcBorders>
              <w:top w:val="nil" w:color="000000"/>
              <w:left w:val="nil" w:color="000000"/>
              <w:bottom w:val="single" w:color="000000"/>
              <w:right w:val="nil" w:color="000000"/>
            </w:tcBorders>
          </w:tcPr>
          <w:p>
            <w:pPr>
              <w:spacing w:after="0"/>
            </w:pPr>
          </w:p>
        </w:tc>
      </w:tr>
    </w:tbl>
    <w:p>
      <w:r>
        <w:t/>
      </w:r>
    </w:p>
    <w:p>
      <w:r>
        <w:t/>
      </w:r>
      <w:r>
        <w:t xml:space="preserve">In this table, we find strong evidence that the mean systolic blood </w:t>
      </w:r>
      <w:r>
        <w:t xml:space="preserve">pressure, cholesterol, and triglycerides differ across diabetics and </w:t>
      </w:r>
      <w:r>
        <w:t xml:space="preserve">non-diabetics. We visualize how systolic blood pressure changes with age </w:t>
      </w:r>
      <w:r>
        <w:t xml:space="preserve">group in </w:t>
      </w:r>
      <w:hyperlink w:history="true" w:anchor="bmark1">
        <w:r>
          <w:rPr>
            <w:rStyle w:val="Hyperlink"/>
          </w:rPr>
          <w:t/>
        </w:r>
        <w:r>
          <w:rPr>
            <w:rStyle w:val="Hyperlink"/>
          </w:rPr>
          <w:t xml:space="preserve">figure 1</w:t>
        </w:r>
      </w:hyperlink>
      <w:r>
        <w:t xml:space="preserve">. We see that </w:t>
      </w:r>
      <w:r>
        <w:t xml:space="preserve">systolic blood pressure climbs with age, and for individuals in their 30s </w:t>
      </w:r>
      <w:r>
        <w:t xml:space="preserve">and older, those with diabetes have higher blood pressure than those </w:t>
      </w:r>
      <w:r>
        <w:t xml:space="preserve">without, on average.</w:t>
      </w:r>
    </w:p>
    <w:p>
      <w:pPr>
        <w:jc w:val="center"/>
      </w:pPr>
      <w:r>
        <w:t/>
      </w:r>
      <w:bookmarkStart w:name="bmark1" w:id="0"/>
      <w:r>
        <w:t xml:space="preserve">Figure 1. Systolic blood pressure and diabetes</w:t>
      </w:r>
      <w:bookmarkEnd w:id="0"/>
      <w:r>
        <w:drawing>
          <wp:inline distT="0" distB="0" distL="0" distR="0">
            <wp:extent cx="5943600" cy="3566160"/>
            <wp:effectExtent l="0" t="0" r="0" b="0"/>
            <wp:docPr id="0" name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val="false"/>
                        </a:ext>
                        <a:ext uri="{96DAC541-7B7A-43D3-8B79-37D633B846F1}">
                          <a16svg:svgBlip r:embed="rId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 w:type="textWrapping"/>
      </w:r>
    </w:p>
    <w:sectPr>
      <w:pgSz w:w="12240" w:h="15840" w:code="1"/>
      <w:pgMar w:top="1440" w:right="1440" w:bottom="1440" w:left="1440"/>
    </w:sectPr>
  </w:body>
</w:document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media/graph14ae84a9b-b777-4c51-8eb6-21473e019c6d.png" Type="http://schemas.openxmlformats.org/officeDocument/2006/relationships/image" Id="rId3"/>
    <Relationship Target="media/graph14ae84a9b-b777-4c51-8eb6-21473e019c6d.svg" Type="http://schemas.openxmlformats.org/officeDocument/2006/relationships/image" Id="rId4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